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969"/>
        <w:gridCol w:w="3969"/>
      </w:tblGrid>
      <w:tr w:rsidR="00974746" w:rsidRPr="0010601A" w:rsidTr="00974746">
        <w:tc>
          <w:tcPr>
            <w:tcW w:w="2405" w:type="dxa"/>
          </w:tcPr>
          <w:p w:rsidR="008C4B66" w:rsidRPr="0010601A" w:rsidRDefault="008C4B66" w:rsidP="00974746">
            <w:pPr>
              <w:jc w:val="center"/>
              <w:rPr>
                <w:b/>
              </w:rPr>
            </w:pPr>
            <w:r w:rsidRPr="0010601A">
              <w:rPr>
                <w:b/>
              </w:rPr>
              <w:t>RISK</w:t>
            </w:r>
            <w:r>
              <w:rPr>
                <w:b/>
              </w:rPr>
              <w:t xml:space="preserve"> HEADING</w:t>
            </w:r>
          </w:p>
        </w:tc>
        <w:tc>
          <w:tcPr>
            <w:tcW w:w="3969" w:type="dxa"/>
          </w:tcPr>
          <w:p w:rsidR="008C4B66" w:rsidRPr="0010601A" w:rsidRDefault="008C4B66" w:rsidP="008C4B66">
            <w:pPr>
              <w:jc w:val="center"/>
              <w:rPr>
                <w:b/>
              </w:rPr>
            </w:pPr>
            <w:r w:rsidRPr="002308F6">
              <w:rPr>
                <w:b/>
              </w:rPr>
              <w:t>CONTROL ASSESSMENT</w:t>
            </w:r>
            <w:r>
              <w:rPr>
                <w:b/>
              </w:rPr>
              <w:t xml:space="preserve"> STATUS</w:t>
            </w:r>
          </w:p>
        </w:tc>
        <w:tc>
          <w:tcPr>
            <w:tcW w:w="3969" w:type="dxa"/>
          </w:tcPr>
          <w:p w:rsidR="008C4B66" w:rsidRPr="0010601A" w:rsidRDefault="00587253" w:rsidP="008C4B66">
            <w:pPr>
              <w:jc w:val="center"/>
              <w:rPr>
                <w:b/>
              </w:rPr>
            </w:pPr>
            <w:r>
              <w:rPr>
                <w:b/>
              </w:rPr>
              <w:t>MANAGEMENT IMPROVEMENT</w:t>
            </w:r>
            <w:r w:rsidR="008C4B66">
              <w:rPr>
                <w:b/>
              </w:rPr>
              <w:t xml:space="preserve"> STATUS</w:t>
            </w:r>
          </w:p>
        </w:tc>
        <w:tc>
          <w:tcPr>
            <w:tcW w:w="3969" w:type="dxa"/>
          </w:tcPr>
          <w:p w:rsidR="008C4B66" w:rsidRPr="008C4B66" w:rsidRDefault="008C4B66" w:rsidP="00974746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 </w:t>
            </w:r>
            <w:r w:rsidRPr="008C4B66">
              <w:rPr>
                <w:b/>
              </w:rPr>
              <w:t>RISK LEVEL STATUS</w:t>
            </w:r>
          </w:p>
        </w:tc>
      </w:tr>
      <w:tr w:rsidR="00FE72F7" w:rsidTr="00974746">
        <w:tc>
          <w:tcPr>
            <w:tcW w:w="2405" w:type="dxa"/>
          </w:tcPr>
          <w:p w:rsidR="008C4B66" w:rsidRDefault="008C4B66" w:rsidP="005536C5">
            <w:pPr>
              <w:pStyle w:val="ListParagraph"/>
              <w:numPr>
                <w:ilvl w:val="0"/>
                <w:numId w:val="5"/>
              </w:numPr>
            </w:pPr>
            <w:r w:rsidRPr="005536C5">
              <w:rPr>
                <w:b/>
              </w:rPr>
              <w:t>Non-compliance with Health &amp; Safety at Work Act 2015</w:t>
            </w:r>
          </w:p>
        </w:tc>
        <w:tc>
          <w:tcPr>
            <w:tcW w:w="3969" w:type="dxa"/>
            <w:shd w:val="clear" w:color="auto" w:fill="auto"/>
          </w:tcPr>
          <w:p w:rsidR="005536C5" w:rsidRDefault="005536C5" w:rsidP="005536C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The management and documentation framework manual is </w:t>
            </w:r>
            <w:r w:rsidR="003A3030">
              <w:rPr>
                <w:color w:val="ED7D31" w:themeColor="accent2"/>
              </w:rPr>
              <w:t xml:space="preserve">progressively </w:t>
            </w:r>
            <w:r>
              <w:rPr>
                <w:color w:val="ED7D31" w:themeColor="accent2"/>
              </w:rPr>
              <w:t xml:space="preserve">being implemented. </w:t>
            </w:r>
          </w:p>
          <w:p w:rsidR="00A35BB1" w:rsidRPr="00874A74" w:rsidRDefault="005536C5" w:rsidP="00883878">
            <w:pPr>
              <w:rPr>
                <w:color w:val="FFFFFF" w:themeColor="background1"/>
              </w:rPr>
            </w:pPr>
            <w:r>
              <w:rPr>
                <w:color w:val="ED7D31" w:themeColor="accent2"/>
              </w:rPr>
              <w:t>Further site hazard inspections will be scheduled on completion of initial seismic assessments for all buildings.</w:t>
            </w:r>
          </w:p>
        </w:tc>
        <w:tc>
          <w:tcPr>
            <w:tcW w:w="3969" w:type="dxa"/>
            <w:shd w:val="clear" w:color="auto" w:fill="auto"/>
          </w:tcPr>
          <w:p w:rsidR="008C4B66" w:rsidRDefault="00B8140C" w:rsidP="00BA3DEC">
            <w:r w:rsidRPr="00B8140C">
              <w:rPr>
                <w:color w:val="ED7D31" w:themeColor="accent2"/>
              </w:rPr>
              <w:t xml:space="preserve">A co-ordinated approach to implementation of the legislation is under way.  </w:t>
            </w:r>
            <w:r w:rsidR="005536C5" w:rsidRPr="005536C5">
              <w:rPr>
                <w:color w:val="ED7D31" w:themeColor="accent2"/>
              </w:rPr>
              <w:t xml:space="preserve">Draft implementation plans have been prepared to address the results to date of the hazard assessments of three properties.  </w:t>
            </w:r>
            <w:r w:rsidR="00BA3DEC" w:rsidRPr="00BA3DEC">
              <w:rPr>
                <w:color w:val="70AD47" w:themeColor="accent6"/>
              </w:rPr>
              <w:t>While s</w:t>
            </w:r>
            <w:r w:rsidR="005536C5" w:rsidRPr="002871EB">
              <w:rPr>
                <w:color w:val="70AD47" w:themeColor="accent6"/>
              </w:rPr>
              <w:t xml:space="preserve">ome </w:t>
            </w:r>
            <w:r w:rsidR="003A3030">
              <w:rPr>
                <w:color w:val="70AD47" w:themeColor="accent6"/>
              </w:rPr>
              <w:t>hazard response</w:t>
            </w:r>
            <w:r w:rsidR="00BA3DEC">
              <w:rPr>
                <w:color w:val="70AD47" w:themeColor="accent6"/>
              </w:rPr>
              <w:t>s</w:t>
            </w:r>
            <w:r w:rsidR="003A3030">
              <w:rPr>
                <w:color w:val="70AD47" w:themeColor="accent6"/>
              </w:rPr>
              <w:t xml:space="preserve"> </w:t>
            </w:r>
            <w:r w:rsidR="005536C5" w:rsidRPr="002871EB">
              <w:rPr>
                <w:color w:val="70AD47" w:themeColor="accent6"/>
              </w:rPr>
              <w:t>have already been actioned</w:t>
            </w:r>
            <w:r w:rsidR="00BA3DEC">
              <w:rPr>
                <w:color w:val="70AD47" w:themeColor="accent6"/>
              </w:rPr>
              <w:t xml:space="preserve"> </w:t>
            </w:r>
            <w:r w:rsidR="00BA3DEC" w:rsidRPr="00BA3DEC">
              <w:rPr>
                <w:color w:val="ED7D31" w:themeColor="accent2"/>
              </w:rPr>
              <w:t xml:space="preserve">most have </w:t>
            </w:r>
            <w:r w:rsidR="00953179" w:rsidRPr="00BA3DEC">
              <w:rPr>
                <w:color w:val="ED7D31" w:themeColor="accent2"/>
                <w:shd w:val="clear" w:color="auto" w:fill="FFFFFF" w:themeFill="background1"/>
              </w:rPr>
              <w:t>been held over pending clarification of the Trust’s future plans for the likes of High Street, Carterton.</w:t>
            </w:r>
            <w:r w:rsidR="00953179" w:rsidRPr="00BA3DEC">
              <w:rPr>
                <w:color w:val="ED7D31" w:themeColor="accent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C4B66" w:rsidRPr="008C4B66" w:rsidRDefault="00B8140C" w:rsidP="00B8140C">
            <w:pPr>
              <w:rPr>
                <w:color w:val="FFFFFF" w:themeColor="background1"/>
              </w:rPr>
            </w:pPr>
            <w:r w:rsidRPr="00B8140C">
              <w:rPr>
                <w:color w:val="ED7D31" w:themeColor="accent2"/>
              </w:rPr>
              <w:t xml:space="preserve">The level of risk </w:t>
            </w:r>
            <w:r>
              <w:rPr>
                <w:color w:val="ED7D31" w:themeColor="accent2"/>
              </w:rPr>
              <w:t xml:space="preserve">is currently assessed as moderate to high.  This </w:t>
            </w:r>
            <w:r w:rsidRPr="00B8140C">
              <w:rPr>
                <w:color w:val="ED7D31" w:themeColor="accent2"/>
              </w:rPr>
              <w:t xml:space="preserve">will </w:t>
            </w:r>
            <w:r>
              <w:rPr>
                <w:color w:val="ED7D31" w:themeColor="accent2"/>
              </w:rPr>
              <w:t xml:space="preserve">be reduced </w:t>
            </w:r>
            <w:r w:rsidRPr="00B8140C">
              <w:rPr>
                <w:color w:val="ED7D31" w:themeColor="accent2"/>
              </w:rPr>
              <w:t xml:space="preserve">as we </w:t>
            </w:r>
            <w:r>
              <w:rPr>
                <w:color w:val="ED7D31" w:themeColor="accent2"/>
              </w:rPr>
              <w:t xml:space="preserve">consolidate progress made so far to </w:t>
            </w:r>
            <w:r w:rsidRPr="00B8140C">
              <w:rPr>
                <w:color w:val="ED7D31" w:themeColor="accent2"/>
              </w:rPr>
              <w:t>establish</w:t>
            </w:r>
            <w:r>
              <w:rPr>
                <w:color w:val="ED7D31" w:themeColor="accent2"/>
              </w:rPr>
              <w:t xml:space="preserve"> </w:t>
            </w:r>
            <w:r w:rsidRPr="00B8140C">
              <w:rPr>
                <w:color w:val="ED7D31" w:themeColor="accent2"/>
              </w:rPr>
              <w:t>a management and documentation regime, and develop and implement associated action plan</w:t>
            </w:r>
            <w:r>
              <w:rPr>
                <w:color w:val="ED7D31" w:themeColor="accent2"/>
              </w:rPr>
              <w:t>s</w:t>
            </w:r>
            <w:r w:rsidRPr="00B8140C">
              <w:rPr>
                <w:color w:val="ED7D31" w:themeColor="accent2"/>
              </w:rPr>
              <w:t>.</w:t>
            </w:r>
            <w:r>
              <w:rPr>
                <w:color w:val="ED7D31" w:themeColor="accent2"/>
              </w:rPr>
              <w:t xml:space="preserve"> </w:t>
            </w:r>
            <w:r>
              <w:t xml:space="preserve"> </w:t>
            </w:r>
          </w:p>
        </w:tc>
      </w:tr>
      <w:tr w:rsidR="00FE72F7" w:rsidTr="001443D1">
        <w:tc>
          <w:tcPr>
            <w:tcW w:w="2405" w:type="dxa"/>
          </w:tcPr>
          <w:p w:rsidR="008C4B66" w:rsidRDefault="008C4B66" w:rsidP="008C4B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Threat to rental income security</w:t>
            </w:r>
          </w:p>
          <w:p w:rsidR="008C4B66" w:rsidRDefault="008C4B66" w:rsidP="008C4B66">
            <w:pPr>
              <w:rPr>
                <w:b/>
              </w:rPr>
            </w:pPr>
          </w:p>
          <w:p w:rsidR="008C4B66" w:rsidRDefault="008C4B66" w:rsidP="008C4B66">
            <w:pPr>
              <w:rPr>
                <w:b/>
              </w:rPr>
            </w:pPr>
          </w:p>
          <w:p w:rsidR="008C4B66" w:rsidRPr="002308F6" w:rsidRDefault="008C4B66" w:rsidP="008C4B66">
            <w:pPr>
              <w:rPr>
                <w:b/>
              </w:rPr>
            </w:pPr>
            <w:r w:rsidRPr="002308F6">
              <w:rPr>
                <w:b/>
              </w:rPr>
              <w:t xml:space="preserve"> </w:t>
            </w:r>
          </w:p>
          <w:p w:rsidR="008C4B66" w:rsidRDefault="008C4B66" w:rsidP="008C4B66"/>
        </w:tc>
        <w:tc>
          <w:tcPr>
            <w:tcW w:w="3969" w:type="dxa"/>
            <w:shd w:val="clear" w:color="auto" w:fill="auto"/>
          </w:tcPr>
          <w:p w:rsidR="00617844" w:rsidRPr="002871EB" w:rsidRDefault="00883878" w:rsidP="005E2A98">
            <w:pPr>
              <w:rPr>
                <w:color w:val="ED7D31" w:themeColor="accent2"/>
              </w:rPr>
            </w:pPr>
            <w:r w:rsidRPr="002871EB">
              <w:rPr>
                <w:color w:val="ED7D31" w:themeColor="accent2"/>
              </w:rPr>
              <w:t>Trustees have identified strategic objectives of improving the WALT, reducing the proportion of Greytown based property making up its portfolio and reducing exposure to residential and to a l</w:t>
            </w:r>
            <w:r w:rsidR="005E2A98" w:rsidRPr="002871EB">
              <w:rPr>
                <w:color w:val="ED7D31" w:themeColor="accent2"/>
              </w:rPr>
              <w:t>esser extent retail tenancies. A</w:t>
            </w:r>
            <w:r w:rsidRPr="002871EB">
              <w:rPr>
                <w:color w:val="ED7D31" w:themeColor="accent2"/>
              </w:rPr>
              <w:t xml:space="preserve">bility to </w:t>
            </w:r>
            <w:r w:rsidR="005E2A98" w:rsidRPr="002871EB">
              <w:rPr>
                <w:color w:val="ED7D31" w:themeColor="accent2"/>
              </w:rPr>
              <w:t xml:space="preserve">influence these factors </w:t>
            </w:r>
            <w:r w:rsidRPr="002871EB">
              <w:rPr>
                <w:color w:val="ED7D31" w:themeColor="accent2"/>
              </w:rPr>
              <w:t>is limited in the short to medium term.</w:t>
            </w:r>
          </w:p>
          <w:p w:rsidR="008C4B66" w:rsidRPr="00B541DE" w:rsidRDefault="002871EB" w:rsidP="00B8140C">
            <w:r w:rsidRPr="001443D1">
              <w:rPr>
                <w:color w:val="70AD47" w:themeColor="accent6"/>
                <w:shd w:val="clear" w:color="auto" w:fill="FFFFFF" w:themeFill="background1"/>
              </w:rPr>
              <w:t xml:space="preserve">The threat to rental income security incurred </w:t>
            </w:r>
            <w:r w:rsidR="00B8140C" w:rsidRPr="001443D1">
              <w:rPr>
                <w:color w:val="70AD47" w:themeColor="accent6"/>
                <w:shd w:val="clear" w:color="auto" w:fill="FFFFFF" w:themeFill="background1"/>
              </w:rPr>
              <w:t xml:space="preserve">arising from </w:t>
            </w:r>
            <w:r w:rsidRPr="001443D1">
              <w:rPr>
                <w:color w:val="70AD47" w:themeColor="accent6"/>
                <w:shd w:val="clear" w:color="auto" w:fill="FFFFFF" w:themeFill="background1"/>
              </w:rPr>
              <w:t xml:space="preserve">business interruption is managed </w:t>
            </w:r>
            <w:r w:rsidR="00B8140C" w:rsidRPr="001443D1">
              <w:rPr>
                <w:color w:val="70AD47" w:themeColor="accent6"/>
                <w:shd w:val="clear" w:color="auto" w:fill="FFFFFF" w:themeFill="background1"/>
              </w:rPr>
              <w:t>through insurance (t</w:t>
            </w:r>
            <w:r w:rsidR="00617844" w:rsidRPr="001443D1">
              <w:rPr>
                <w:color w:val="70AD47" w:themeColor="accent6"/>
                <w:shd w:val="clear" w:color="auto" w:fill="FFFFFF" w:themeFill="background1"/>
              </w:rPr>
              <w:t>hreats to income security in the form of physical damage to Trust property are covered below)</w:t>
            </w:r>
            <w:r w:rsidR="00B8140C" w:rsidRPr="001443D1">
              <w:rPr>
                <w:color w:val="70AD47" w:themeColor="accent6"/>
                <w:shd w:val="clear" w:color="auto" w:fill="FFFFFF" w:themeFill="background1"/>
              </w:rPr>
              <w:t>.</w:t>
            </w:r>
            <w:r w:rsidR="00883878" w:rsidRPr="00B8140C">
              <w:rPr>
                <w:color w:val="70AD47" w:themeColor="accent6"/>
              </w:rPr>
              <w:t xml:space="preserve">  </w:t>
            </w:r>
          </w:p>
        </w:tc>
        <w:tc>
          <w:tcPr>
            <w:tcW w:w="3969" w:type="dxa"/>
            <w:shd w:val="clear" w:color="auto" w:fill="FFFFFF" w:themeFill="background1"/>
          </w:tcPr>
          <w:p w:rsidR="0070580D" w:rsidRDefault="0070580D" w:rsidP="00336B05">
            <w:pPr>
              <w:rPr>
                <w:color w:val="70AD47" w:themeColor="accent6"/>
              </w:rPr>
            </w:pPr>
            <w:r w:rsidRPr="0070580D">
              <w:rPr>
                <w:color w:val="70AD47" w:themeColor="accent6"/>
              </w:rPr>
              <w:t xml:space="preserve">Exposure to residential tenancies has been and will be significantly and permanently reduced through actual and </w:t>
            </w:r>
            <w:r w:rsidR="00336B05">
              <w:rPr>
                <w:color w:val="70AD47" w:themeColor="accent6"/>
              </w:rPr>
              <w:t xml:space="preserve">imminent </w:t>
            </w:r>
            <w:r w:rsidRPr="0070580D">
              <w:rPr>
                <w:color w:val="70AD47" w:themeColor="accent6"/>
              </w:rPr>
              <w:t xml:space="preserve">disposals.  These and other disposals have had the effect of </w:t>
            </w:r>
            <w:r>
              <w:rPr>
                <w:color w:val="70AD47" w:themeColor="accent6"/>
              </w:rPr>
              <w:t xml:space="preserve">reducing the proportion of the </w:t>
            </w:r>
            <w:r w:rsidR="00336B05">
              <w:rPr>
                <w:color w:val="70AD47" w:themeColor="accent6"/>
              </w:rPr>
              <w:t xml:space="preserve">total </w:t>
            </w:r>
            <w:r>
              <w:rPr>
                <w:color w:val="70AD47" w:themeColor="accent6"/>
              </w:rPr>
              <w:t>portfolio represented by Greytown properties.</w:t>
            </w:r>
          </w:p>
          <w:p w:rsidR="00336B05" w:rsidRDefault="00336B05" w:rsidP="00336B05">
            <w:pPr>
              <w:rPr>
                <w:color w:val="ED7D31" w:themeColor="accent2"/>
              </w:rPr>
            </w:pPr>
            <w:r w:rsidRPr="00336B05">
              <w:rPr>
                <w:color w:val="ED7D31" w:themeColor="accent2"/>
              </w:rPr>
              <w:t xml:space="preserve">WALT has fallen due to the impact of </w:t>
            </w:r>
            <w:r>
              <w:rPr>
                <w:color w:val="ED7D31" w:themeColor="accent2"/>
              </w:rPr>
              <w:t xml:space="preserve">agreeing very </w:t>
            </w:r>
            <w:r w:rsidRPr="00336B05">
              <w:rPr>
                <w:color w:val="ED7D31" w:themeColor="accent2"/>
              </w:rPr>
              <w:t xml:space="preserve">short term leases </w:t>
            </w:r>
            <w:r>
              <w:rPr>
                <w:color w:val="ED7D31" w:themeColor="accent2"/>
              </w:rPr>
              <w:t xml:space="preserve">for vacant premises awaiting long term tenants </w:t>
            </w:r>
            <w:proofErr w:type="spellStart"/>
            <w:r>
              <w:rPr>
                <w:color w:val="ED7D31" w:themeColor="accent2"/>
              </w:rPr>
              <w:t>eg</w:t>
            </w:r>
            <w:proofErr w:type="spellEnd"/>
            <w:r>
              <w:rPr>
                <w:color w:val="ED7D31" w:themeColor="accent2"/>
              </w:rPr>
              <w:t>. 64 Main Street.</w:t>
            </w:r>
            <w:r w:rsidRPr="00336B05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 xml:space="preserve"> It is anticipated to improve in the near future.</w:t>
            </w:r>
          </w:p>
          <w:p w:rsidR="00260B24" w:rsidRPr="00BB2D10" w:rsidRDefault="00260B24" w:rsidP="00336B0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Progress on reducing exposure to retail tenancies has been minor.</w:t>
            </w:r>
          </w:p>
        </w:tc>
        <w:tc>
          <w:tcPr>
            <w:tcW w:w="3969" w:type="dxa"/>
            <w:shd w:val="clear" w:color="auto" w:fill="auto"/>
          </w:tcPr>
          <w:p w:rsidR="008C4B66" w:rsidRPr="00BB2D10" w:rsidRDefault="00B8140C" w:rsidP="00BA3DEC">
            <w:pPr>
              <w:rPr>
                <w:color w:val="ED7D31" w:themeColor="accent2"/>
              </w:rPr>
            </w:pPr>
            <w:r w:rsidRPr="00B8140C">
              <w:rPr>
                <w:color w:val="70AD47" w:themeColor="accent6"/>
              </w:rPr>
              <w:t xml:space="preserve">Overall level of risk is </w:t>
            </w:r>
            <w:r w:rsidR="00BA3DEC">
              <w:rPr>
                <w:color w:val="70AD47" w:themeColor="accent6"/>
              </w:rPr>
              <w:t xml:space="preserve">assessed </w:t>
            </w:r>
            <w:r w:rsidRPr="00B8140C">
              <w:rPr>
                <w:color w:val="70AD47" w:themeColor="accent6"/>
              </w:rPr>
              <w:t>as moderate to low.</w:t>
            </w:r>
          </w:p>
        </w:tc>
      </w:tr>
      <w:tr w:rsidR="00FE72F7" w:rsidTr="009F764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B66" w:rsidRDefault="008C4B66" w:rsidP="008C4B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74A74">
              <w:rPr>
                <w:b/>
              </w:rPr>
              <w:t>Severe earthquake, other natural disaster, fire, security or police emergency</w:t>
            </w:r>
          </w:p>
          <w:p w:rsidR="008C4B66" w:rsidRDefault="008C4B66" w:rsidP="008C4B66">
            <w:pPr>
              <w:rPr>
                <w:b/>
              </w:rPr>
            </w:pPr>
          </w:p>
          <w:p w:rsidR="008C4B66" w:rsidRDefault="008C4B66" w:rsidP="008C4B66">
            <w:pPr>
              <w:rPr>
                <w:b/>
              </w:rPr>
            </w:pPr>
          </w:p>
          <w:p w:rsidR="008C4B66" w:rsidRDefault="008C4B66" w:rsidP="008C4B66">
            <w:pPr>
              <w:rPr>
                <w:b/>
              </w:rPr>
            </w:pPr>
          </w:p>
          <w:p w:rsidR="008C4B66" w:rsidRPr="00874A74" w:rsidRDefault="008C4B66" w:rsidP="008C4B66">
            <w:pPr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C4B66" w:rsidRPr="001443D1" w:rsidRDefault="009F7642" w:rsidP="009F7642">
            <w:pPr>
              <w:rPr>
                <w:color w:val="70AD47" w:themeColor="accent6"/>
                <w:shd w:val="clear" w:color="auto" w:fill="E7E6E6" w:themeFill="background2"/>
              </w:rPr>
            </w:pPr>
            <w:r w:rsidRPr="009F7642">
              <w:rPr>
                <w:color w:val="FF0000"/>
                <w:shd w:val="clear" w:color="auto" w:fill="E7E6E6" w:themeFill="background2"/>
              </w:rPr>
              <w:lastRenderedPageBreak/>
              <w:t xml:space="preserve">Economic constraints mean it is not feasible to mitigate 100% of the risk associated with these types of event. </w:t>
            </w:r>
            <w:r w:rsidRPr="009F7642">
              <w:rPr>
                <w:color w:val="70AD47" w:themeColor="accent6"/>
                <w:shd w:val="clear" w:color="auto" w:fill="E7E6E6" w:themeFill="background2"/>
              </w:rPr>
              <w:t xml:space="preserve">However, residual earthquake, flood and fire risk are managed through insurance provision. 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B66" w:rsidRPr="00BB2D10" w:rsidRDefault="00260B24" w:rsidP="00BA3DEC">
            <w:pPr>
              <w:rPr>
                <w:color w:val="C00000"/>
              </w:rPr>
            </w:pPr>
            <w:r w:rsidRPr="00617844">
              <w:rPr>
                <w:color w:val="70AD47" w:themeColor="accent6"/>
              </w:rPr>
              <w:t xml:space="preserve">Recently completed seismic assessments have indicated the majority of properties in the Trust’s portfolio currently achieve a satisfactory seismic rating.  </w:t>
            </w:r>
            <w:r w:rsidR="001443D1">
              <w:t xml:space="preserve"> </w:t>
            </w:r>
            <w:r w:rsidR="001443D1" w:rsidRPr="00BA3DEC">
              <w:rPr>
                <w:color w:val="FF0000"/>
              </w:rPr>
              <w:t xml:space="preserve">There </w:t>
            </w:r>
            <w:r w:rsidR="003A3030" w:rsidRPr="00BA3DEC">
              <w:rPr>
                <w:color w:val="FF0000"/>
              </w:rPr>
              <w:t>are f</w:t>
            </w:r>
            <w:r w:rsidR="001443D1" w:rsidRPr="00BA3DEC">
              <w:rPr>
                <w:color w:val="FF0000"/>
              </w:rPr>
              <w:t>our properties where the risk is considered moderate to high</w:t>
            </w:r>
            <w:r w:rsidR="00BA3DEC" w:rsidRPr="00BA3DEC">
              <w:rPr>
                <w:color w:val="FF0000"/>
              </w:rPr>
              <w:t>.  In</w:t>
            </w:r>
            <w:r w:rsidR="001443D1" w:rsidRPr="00BA3DEC">
              <w:rPr>
                <w:color w:val="FF0000"/>
              </w:rPr>
              <w:t xml:space="preserve"> two instances </w:t>
            </w:r>
            <w:r w:rsidR="003A3030" w:rsidRPr="00BA3DEC">
              <w:rPr>
                <w:color w:val="FF0000"/>
              </w:rPr>
              <w:t xml:space="preserve">further detailed assessments will be undertaken to </w:t>
            </w:r>
            <w:r w:rsidR="00BA3DEC" w:rsidRPr="00BA3DEC">
              <w:rPr>
                <w:color w:val="FF0000"/>
              </w:rPr>
              <w:t xml:space="preserve">establish whether it </w:t>
            </w:r>
            <w:r w:rsidR="00BA3DEC" w:rsidRPr="00BA3DEC">
              <w:rPr>
                <w:color w:val="FF0000"/>
              </w:rPr>
              <w:lastRenderedPageBreak/>
              <w:t>is economic to mitigate this risk</w:t>
            </w:r>
            <w:r w:rsidR="001443D1" w:rsidRPr="00BA3DEC">
              <w:rPr>
                <w:color w:val="FF0000"/>
              </w:rPr>
              <w:t xml:space="preserve">.   No </w:t>
            </w:r>
            <w:r w:rsidR="00BA3DEC" w:rsidRPr="00BA3DEC">
              <w:rPr>
                <w:color w:val="FF0000"/>
              </w:rPr>
              <w:t xml:space="preserve">real </w:t>
            </w:r>
            <w:r w:rsidR="001443D1" w:rsidRPr="00BA3DEC">
              <w:rPr>
                <w:color w:val="FF0000"/>
              </w:rPr>
              <w:t xml:space="preserve">progress has yet been made in implementing </w:t>
            </w:r>
            <w:r w:rsidR="00BA3DEC" w:rsidRPr="00BA3DEC">
              <w:rPr>
                <w:color w:val="FF0000"/>
              </w:rPr>
              <w:t xml:space="preserve">a resolution to dispose </w:t>
            </w:r>
            <w:r w:rsidR="00BA3DEC">
              <w:rPr>
                <w:color w:val="FF0000"/>
              </w:rPr>
              <w:t>of the other two properties.</w:t>
            </w:r>
            <w:r w:rsidR="00883878" w:rsidRPr="000F6725">
              <w:rPr>
                <w:color w:val="C0000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B66" w:rsidRPr="00BB2D10" w:rsidRDefault="00260B24" w:rsidP="00BA3DEC">
            <w:pPr>
              <w:rPr>
                <w:color w:val="C00000"/>
              </w:rPr>
            </w:pPr>
            <w:r w:rsidRPr="00617844">
              <w:rPr>
                <w:color w:val="70AD47" w:themeColor="accent6"/>
              </w:rPr>
              <w:lastRenderedPageBreak/>
              <w:t xml:space="preserve">With information now to hand the </w:t>
            </w:r>
            <w:r w:rsidR="00883878" w:rsidRPr="00617844">
              <w:rPr>
                <w:color w:val="70AD47" w:themeColor="accent6"/>
              </w:rPr>
              <w:t xml:space="preserve">level of </w:t>
            </w:r>
            <w:r w:rsidRPr="00617844">
              <w:rPr>
                <w:color w:val="70AD47" w:themeColor="accent6"/>
              </w:rPr>
              <w:t xml:space="preserve">seismic </w:t>
            </w:r>
            <w:r w:rsidR="00883878" w:rsidRPr="00617844">
              <w:rPr>
                <w:color w:val="70AD47" w:themeColor="accent6"/>
              </w:rPr>
              <w:t xml:space="preserve">risk is </w:t>
            </w:r>
            <w:r w:rsidRPr="00617844">
              <w:rPr>
                <w:color w:val="70AD47" w:themeColor="accent6"/>
              </w:rPr>
              <w:t xml:space="preserve">considered </w:t>
            </w:r>
            <w:r w:rsidR="00617844" w:rsidRPr="00617844">
              <w:rPr>
                <w:color w:val="70AD47" w:themeColor="accent6"/>
              </w:rPr>
              <w:t xml:space="preserve">moderate </w:t>
            </w:r>
            <w:proofErr w:type="spellStart"/>
            <w:r w:rsidR="00617844" w:rsidRPr="00617844">
              <w:rPr>
                <w:color w:val="70AD47" w:themeColor="accent6"/>
              </w:rPr>
              <w:t>to</w:t>
            </w:r>
            <w:proofErr w:type="spellEnd"/>
            <w:r w:rsidR="00617844" w:rsidRPr="00617844">
              <w:rPr>
                <w:color w:val="70AD47" w:themeColor="accent6"/>
              </w:rPr>
              <w:t xml:space="preserve"> low</w:t>
            </w:r>
            <w:r w:rsidRPr="00617844">
              <w:rPr>
                <w:color w:val="70AD47" w:themeColor="accent6"/>
              </w:rPr>
              <w:t xml:space="preserve"> for most properties</w:t>
            </w:r>
            <w:r w:rsidR="00883878" w:rsidRPr="00617844">
              <w:rPr>
                <w:color w:val="70AD47" w:themeColor="accent6"/>
              </w:rPr>
              <w:t>.</w:t>
            </w:r>
            <w:r w:rsidR="00BA3DEC">
              <w:rPr>
                <w:color w:val="70AD47" w:themeColor="accent6"/>
              </w:rPr>
              <w:t xml:space="preserve"> Ditto flooding and fire. </w:t>
            </w:r>
            <w:r w:rsidRPr="00617844">
              <w:rPr>
                <w:color w:val="70AD47" w:themeColor="accent6"/>
              </w:rPr>
              <w:t xml:space="preserve"> </w:t>
            </w:r>
          </w:p>
        </w:tc>
      </w:tr>
      <w:tr w:rsidR="00FE72F7" w:rsidTr="004C3B70">
        <w:tc>
          <w:tcPr>
            <w:tcW w:w="2405" w:type="dxa"/>
            <w:tcBorders>
              <w:bottom w:val="single" w:sz="12" w:space="0" w:color="4472C4" w:themeColor="accent5"/>
            </w:tcBorders>
          </w:tcPr>
          <w:p w:rsidR="008C4B66" w:rsidRPr="00874A74" w:rsidRDefault="008C4B66" w:rsidP="008C4B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874A74">
              <w:rPr>
                <w:b/>
              </w:rPr>
              <w:t xml:space="preserve">Death or incapacity of a staff member impacts Trust operations </w:t>
            </w:r>
          </w:p>
          <w:p w:rsidR="008C4B66" w:rsidRDefault="008C4B66" w:rsidP="008C4B66"/>
        </w:tc>
        <w:tc>
          <w:tcPr>
            <w:tcW w:w="3969" w:type="dxa"/>
            <w:tcBorders>
              <w:bottom w:val="single" w:sz="12" w:space="0" w:color="4472C4" w:themeColor="accent5"/>
            </w:tcBorders>
            <w:shd w:val="clear" w:color="auto" w:fill="auto"/>
          </w:tcPr>
          <w:p w:rsidR="008C4B66" w:rsidRPr="00BB2D10" w:rsidRDefault="00883878" w:rsidP="00A35BB1">
            <w:pPr>
              <w:rPr>
                <w:color w:val="C00000"/>
              </w:rPr>
            </w:pPr>
            <w:r w:rsidRPr="00EF3656">
              <w:rPr>
                <w:color w:val="ED7D31" w:themeColor="accent2"/>
              </w:rPr>
              <w:t xml:space="preserve">In an environment where the operations of the Trust are reliant on the health of just two staff, mitigation of </w:t>
            </w:r>
            <w:r>
              <w:rPr>
                <w:color w:val="ED7D31" w:themeColor="accent2"/>
              </w:rPr>
              <w:t xml:space="preserve">this risk is </w:t>
            </w:r>
            <w:r w:rsidRPr="00EF3656">
              <w:rPr>
                <w:color w:val="ED7D31" w:themeColor="accent2"/>
              </w:rPr>
              <w:t>limited</w:t>
            </w:r>
            <w:r>
              <w:rPr>
                <w:color w:val="ED7D31" w:themeColor="accent2"/>
              </w:rPr>
              <w:t xml:space="preserve"> to implementing a </w:t>
            </w:r>
            <w:r w:rsidRPr="00EF3656">
              <w:rPr>
                <w:color w:val="ED7D31" w:themeColor="accent2"/>
              </w:rPr>
              <w:t xml:space="preserve">combination of </w:t>
            </w:r>
            <w:r>
              <w:rPr>
                <w:color w:val="ED7D31" w:themeColor="accent2"/>
              </w:rPr>
              <w:t xml:space="preserve">appropriate fall-back </w:t>
            </w:r>
            <w:r w:rsidRPr="00EF3656">
              <w:rPr>
                <w:color w:val="ED7D31" w:themeColor="accent2"/>
              </w:rPr>
              <w:t xml:space="preserve">operating procedures and </w:t>
            </w:r>
            <w:r>
              <w:rPr>
                <w:color w:val="ED7D31" w:themeColor="accent2"/>
              </w:rPr>
              <w:t>a business continuity plan</w:t>
            </w:r>
          </w:p>
        </w:tc>
        <w:tc>
          <w:tcPr>
            <w:tcW w:w="3969" w:type="dxa"/>
            <w:tcBorders>
              <w:bottom w:val="single" w:sz="12" w:space="0" w:color="4472C4" w:themeColor="accent5"/>
            </w:tcBorders>
            <w:shd w:val="clear" w:color="auto" w:fill="auto"/>
          </w:tcPr>
          <w:p w:rsidR="008C4B66" w:rsidRPr="00BB2D10" w:rsidRDefault="00E54CEE" w:rsidP="00A1010E">
            <w:pPr>
              <w:rPr>
                <w:color w:val="C00000"/>
              </w:rPr>
            </w:pPr>
            <w:r w:rsidRPr="00BA3DEC">
              <w:rPr>
                <w:color w:val="70AD47" w:themeColor="accent6"/>
              </w:rPr>
              <w:t xml:space="preserve">A BCP has been drafted and covers off this risk.  </w:t>
            </w:r>
            <w:r w:rsidRPr="00F8607A">
              <w:rPr>
                <w:color w:val="ED7D31" w:themeColor="accent2"/>
              </w:rPr>
              <w:t>Proposed back</w:t>
            </w:r>
            <w:r>
              <w:rPr>
                <w:color w:val="ED7D31" w:themeColor="accent2"/>
              </w:rPr>
              <w:t>-up</w:t>
            </w:r>
            <w:r w:rsidRPr="00F8607A">
              <w:rPr>
                <w:color w:val="ED7D31" w:themeColor="accent2"/>
              </w:rPr>
              <w:t xml:space="preserve"> arrangements need to be confirmed.</w:t>
            </w:r>
          </w:p>
        </w:tc>
        <w:tc>
          <w:tcPr>
            <w:tcW w:w="3969" w:type="dxa"/>
            <w:tcBorders>
              <w:bottom w:val="single" w:sz="12" w:space="0" w:color="4472C4" w:themeColor="accent5"/>
            </w:tcBorders>
            <w:shd w:val="clear" w:color="auto" w:fill="auto"/>
          </w:tcPr>
          <w:p w:rsidR="008C4B66" w:rsidRPr="00BB2D10" w:rsidRDefault="00BA3DEC" w:rsidP="00B3051E">
            <w:pPr>
              <w:rPr>
                <w:color w:val="C00000"/>
              </w:rPr>
            </w:pPr>
            <w:r w:rsidRPr="00BA3DEC">
              <w:rPr>
                <w:color w:val="ED7D31" w:themeColor="accent2"/>
              </w:rPr>
              <w:t>Overall level of risk is assessed as moderate.</w:t>
            </w:r>
          </w:p>
        </w:tc>
      </w:tr>
    </w:tbl>
    <w:p w:rsidR="00AD3C73" w:rsidRDefault="00AD3C73" w:rsidP="0048059F"/>
    <w:sectPr w:rsidR="00AD3C73" w:rsidSect="00C03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D6" w:rsidRDefault="00D50CD6" w:rsidP="006705B5">
      <w:pPr>
        <w:spacing w:after="0" w:line="240" w:lineRule="auto"/>
      </w:pPr>
      <w:r>
        <w:separator/>
      </w:r>
    </w:p>
  </w:endnote>
  <w:endnote w:type="continuationSeparator" w:id="0">
    <w:p w:rsidR="00D50CD6" w:rsidRDefault="00D50CD6" w:rsidP="0067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D" w:rsidRDefault="00122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D" w:rsidRDefault="00122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D" w:rsidRDefault="00122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D6" w:rsidRDefault="00D50CD6" w:rsidP="006705B5">
      <w:pPr>
        <w:spacing w:after="0" w:line="240" w:lineRule="auto"/>
      </w:pPr>
      <w:r>
        <w:separator/>
      </w:r>
    </w:p>
  </w:footnote>
  <w:footnote w:type="continuationSeparator" w:id="0">
    <w:p w:rsidR="00D50CD6" w:rsidRDefault="00D50CD6" w:rsidP="0067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D" w:rsidRDefault="00122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B5" w:rsidRDefault="00755F43">
    <w:pPr>
      <w:pStyle w:val="Header"/>
    </w:pPr>
    <w:r>
      <w:t>Board meeting 16 Febr</w:t>
    </w:r>
    <w:r w:rsidR="00571925">
      <w:t>uary</w:t>
    </w:r>
    <w:r w:rsidR="00BF02AA">
      <w:t xml:space="preserve"> </w:t>
    </w:r>
    <w:r w:rsidR="00571925">
      <w:t>2017</w:t>
    </w:r>
    <w:r w:rsidR="00FD0A74">
      <w:t xml:space="preserve"> – Monthly risk monitoring report</w:t>
    </w:r>
    <w:r w:rsidR="00BF02AA">
      <w:tab/>
    </w:r>
    <w:r w:rsidR="00BF02AA">
      <w:tab/>
    </w:r>
    <w:r w:rsidR="00BF02AA">
      <w:tab/>
    </w:r>
    <w:r w:rsidR="00BF02AA">
      <w:tab/>
    </w:r>
    <w:r w:rsidR="00571925">
      <w:t>Agenda item 3</w:t>
    </w:r>
    <w:r w:rsidR="006705B5">
      <w:t>.2.1 Appendix 1</w:t>
    </w:r>
  </w:p>
  <w:p w:rsidR="006705B5" w:rsidRDefault="00670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D" w:rsidRDefault="00122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184"/>
    <w:multiLevelType w:val="hybridMultilevel"/>
    <w:tmpl w:val="815638A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40A6A"/>
    <w:multiLevelType w:val="hybridMultilevel"/>
    <w:tmpl w:val="B40839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B69A5"/>
    <w:multiLevelType w:val="hybridMultilevel"/>
    <w:tmpl w:val="17DC9EF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A3163"/>
    <w:multiLevelType w:val="hybridMultilevel"/>
    <w:tmpl w:val="2D3A7C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89A"/>
    <w:multiLevelType w:val="hybridMultilevel"/>
    <w:tmpl w:val="36CC8E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06E81"/>
    <w:multiLevelType w:val="hybridMultilevel"/>
    <w:tmpl w:val="974CE75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168BC"/>
    <w:multiLevelType w:val="hybridMultilevel"/>
    <w:tmpl w:val="F0EAF3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3B6A79"/>
    <w:multiLevelType w:val="hybridMultilevel"/>
    <w:tmpl w:val="25EC54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A"/>
    <w:rsid w:val="00002F92"/>
    <w:rsid w:val="00010E3A"/>
    <w:rsid w:val="00056961"/>
    <w:rsid w:val="000F11BD"/>
    <w:rsid w:val="0010601A"/>
    <w:rsid w:val="0012285D"/>
    <w:rsid w:val="00124028"/>
    <w:rsid w:val="001306F2"/>
    <w:rsid w:val="00142AD5"/>
    <w:rsid w:val="001443D1"/>
    <w:rsid w:val="001443F4"/>
    <w:rsid w:val="0019188A"/>
    <w:rsid w:val="001D75F5"/>
    <w:rsid w:val="001E5CA7"/>
    <w:rsid w:val="001F6F84"/>
    <w:rsid w:val="002063BB"/>
    <w:rsid w:val="00207B93"/>
    <w:rsid w:val="00216CAA"/>
    <w:rsid w:val="002224A5"/>
    <w:rsid w:val="002308F6"/>
    <w:rsid w:val="002428B3"/>
    <w:rsid w:val="00260B24"/>
    <w:rsid w:val="002871EB"/>
    <w:rsid w:val="002C5083"/>
    <w:rsid w:val="003118BE"/>
    <w:rsid w:val="00336B05"/>
    <w:rsid w:val="00395FD9"/>
    <w:rsid w:val="003A3030"/>
    <w:rsid w:val="003A4C6B"/>
    <w:rsid w:val="003D100F"/>
    <w:rsid w:val="004004B7"/>
    <w:rsid w:val="00405FDA"/>
    <w:rsid w:val="00426F63"/>
    <w:rsid w:val="00427B1A"/>
    <w:rsid w:val="0048059F"/>
    <w:rsid w:val="004901C6"/>
    <w:rsid w:val="004C3B70"/>
    <w:rsid w:val="0051245A"/>
    <w:rsid w:val="00536DB8"/>
    <w:rsid w:val="005536C5"/>
    <w:rsid w:val="00553E80"/>
    <w:rsid w:val="00571925"/>
    <w:rsid w:val="00573BAC"/>
    <w:rsid w:val="00587253"/>
    <w:rsid w:val="00587BC7"/>
    <w:rsid w:val="00595C38"/>
    <w:rsid w:val="00595E15"/>
    <w:rsid w:val="005B2A5F"/>
    <w:rsid w:val="005C769E"/>
    <w:rsid w:val="005E2A98"/>
    <w:rsid w:val="00617844"/>
    <w:rsid w:val="006229A4"/>
    <w:rsid w:val="00627827"/>
    <w:rsid w:val="00636BD9"/>
    <w:rsid w:val="006617EC"/>
    <w:rsid w:val="006705B5"/>
    <w:rsid w:val="006A393D"/>
    <w:rsid w:val="00705347"/>
    <w:rsid w:val="0070580D"/>
    <w:rsid w:val="00707F3E"/>
    <w:rsid w:val="00755F43"/>
    <w:rsid w:val="00797EFC"/>
    <w:rsid w:val="008030AE"/>
    <w:rsid w:val="008041A5"/>
    <w:rsid w:val="00835B98"/>
    <w:rsid w:val="00874A74"/>
    <w:rsid w:val="00883878"/>
    <w:rsid w:val="008841AD"/>
    <w:rsid w:val="00892384"/>
    <w:rsid w:val="008926D4"/>
    <w:rsid w:val="008B5268"/>
    <w:rsid w:val="008C4B66"/>
    <w:rsid w:val="008F15E7"/>
    <w:rsid w:val="00931409"/>
    <w:rsid w:val="00943691"/>
    <w:rsid w:val="00953179"/>
    <w:rsid w:val="009635F0"/>
    <w:rsid w:val="00974746"/>
    <w:rsid w:val="009A363A"/>
    <w:rsid w:val="009A7F7B"/>
    <w:rsid w:val="009C60E4"/>
    <w:rsid w:val="009C73ED"/>
    <w:rsid w:val="009D087F"/>
    <w:rsid w:val="009F7642"/>
    <w:rsid w:val="00A1010E"/>
    <w:rsid w:val="00A239CC"/>
    <w:rsid w:val="00A35BB1"/>
    <w:rsid w:val="00A403D1"/>
    <w:rsid w:val="00A923B4"/>
    <w:rsid w:val="00AA345F"/>
    <w:rsid w:val="00AC2D3E"/>
    <w:rsid w:val="00AD3C73"/>
    <w:rsid w:val="00AE7F4A"/>
    <w:rsid w:val="00B02A93"/>
    <w:rsid w:val="00B3051E"/>
    <w:rsid w:val="00B541DE"/>
    <w:rsid w:val="00B77CFB"/>
    <w:rsid w:val="00B8140C"/>
    <w:rsid w:val="00BA3DEC"/>
    <w:rsid w:val="00BA6EBC"/>
    <w:rsid w:val="00BB05AA"/>
    <w:rsid w:val="00BB2D10"/>
    <w:rsid w:val="00BE22D4"/>
    <w:rsid w:val="00BF02AA"/>
    <w:rsid w:val="00C034F2"/>
    <w:rsid w:val="00C05A1E"/>
    <w:rsid w:val="00C21ED5"/>
    <w:rsid w:val="00C93B21"/>
    <w:rsid w:val="00CA34EA"/>
    <w:rsid w:val="00CA5ABD"/>
    <w:rsid w:val="00D301C2"/>
    <w:rsid w:val="00D361A3"/>
    <w:rsid w:val="00D50CD6"/>
    <w:rsid w:val="00D7796D"/>
    <w:rsid w:val="00D935FF"/>
    <w:rsid w:val="00DE2BB1"/>
    <w:rsid w:val="00E14499"/>
    <w:rsid w:val="00E31215"/>
    <w:rsid w:val="00E54CEE"/>
    <w:rsid w:val="00E6549F"/>
    <w:rsid w:val="00E77B43"/>
    <w:rsid w:val="00E80552"/>
    <w:rsid w:val="00E85E7A"/>
    <w:rsid w:val="00E91ECF"/>
    <w:rsid w:val="00EC5ADD"/>
    <w:rsid w:val="00EE42EE"/>
    <w:rsid w:val="00F0196A"/>
    <w:rsid w:val="00F04EAF"/>
    <w:rsid w:val="00F05DB8"/>
    <w:rsid w:val="00F34299"/>
    <w:rsid w:val="00F51453"/>
    <w:rsid w:val="00F61B25"/>
    <w:rsid w:val="00F65EB5"/>
    <w:rsid w:val="00F7344F"/>
    <w:rsid w:val="00FB03AD"/>
    <w:rsid w:val="00FB12A8"/>
    <w:rsid w:val="00FD0A74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30C51-5E38-4F5B-8576-BBFA7C5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B5"/>
  </w:style>
  <w:style w:type="paragraph" w:styleId="Footer">
    <w:name w:val="footer"/>
    <w:basedOn w:val="Normal"/>
    <w:link w:val="FooterChar"/>
    <w:uiPriority w:val="99"/>
    <w:unhideWhenUsed/>
    <w:rsid w:val="0067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B5"/>
  </w:style>
  <w:style w:type="paragraph" w:styleId="BalloonText">
    <w:name w:val="Balloon Text"/>
    <w:basedOn w:val="Normal"/>
    <w:link w:val="BalloonTextChar"/>
    <w:uiPriority w:val="99"/>
    <w:semiHidden/>
    <w:unhideWhenUsed/>
    <w:rsid w:val="00C0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C684-176D-423C-AD30-A0F9F936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7</cp:revision>
  <cp:lastPrinted>2016-06-15T21:47:00Z</cp:lastPrinted>
  <dcterms:created xsi:type="dcterms:W3CDTF">2017-02-06T21:17:00Z</dcterms:created>
  <dcterms:modified xsi:type="dcterms:W3CDTF">2017-02-10T01:54:00Z</dcterms:modified>
</cp:coreProperties>
</file>