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A7E" w:rsidRPr="00AE4B68" w:rsidRDefault="000D4A7E">
      <w:pPr>
        <w:rPr>
          <w:sz w:val="24"/>
          <w:szCs w:val="24"/>
        </w:rPr>
      </w:pPr>
      <w:bookmarkStart w:id="0" w:name="_GoBack"/>
      <w:bookmarkEnd w:id="0"/>
      <w:r w:rsidRPr="00AE4B68">
        <w:rPr>
          <w:sz w:val="24"/>
          <w:szCs w:val="24"/>
        </w:rPr>
        <w:t xml:space="preserve">To: Kevin </w:t>
      </w:r>
      <w:r w:rsidR="005118BA" w:rsidRPr="00AE4B68">
        <w:rPr>
          <w:sz w:val="24"/>
          <w:szCs w:val="24"/>
        </w:rPr>
        <w:t xml:space="preserve">Murphy, General Manager, </w:t>
      </w:r>
      <w:proofErr w:type="gramStart"/>
      <w:r w:rsidR="005118BA" w:rsidRPr="00AE4B68">
        <w:rPr>
          <w:sz w:val="24"/>
          <w:szCs w:val="24"/>
        </w:rPr>
        <w:t>Greytown</w:t>
      </w:r>
      <w:proofErr w:type="gramEnd"/>
      <w:r w:rsidR="005118BA" w:rsidRPr="00AE4B68">
        <w:rPr>
          <w:sz w:val="24"/>
          <w:szCs w:val="24"/>
        </w:rPr>
        <w:t xml:space="preserve"> Trust L</w:t>
      </w:r>
      <w:r w:rsidRPr="00AE4B68">
        <w:rPr>
          <w:sz w:val="24"/>
          <w:szCs w:val="24"/>
        </w:rPr>
        <w:t>ands</w:t>
      </w:r>
    </w:p>
    <w:p w:rsidR="000D4A7E" w:rsidRPr="00AE4B68" w:rsidRDefault="000D4A7E">
      <w:pPr>
        <w:rPr>
          <w:sz w:val="24"/>
          <w:szCs w:val="24"/>
        </w:rPr>
      </w:pPr>
    </w:p>
    <w:p w:rsidR="00BC5E6A" w:rsidRPr="00AE4B68" w:rsidRDefault="000D4A7E">
      <w:pPr>
        <w:rPr>
          <w:sz w:val="24"/>
          <w:szCs w:val="24"/>
        </w:rPr>
      </w:pPr>
      <w:r w:rsidRPr="00AE4B68">
        <w:rPr>
          <w:sz w:val="24"/>
          <w:szCs w:val="24"/>
        </w:rPr>
        <w:t>From: John Rhodes</w:t>
      </w:r>
    </w:p>
    <w:p w:rsidR="005118BA" w:rsidRPr="00AE4B68" w:rsidRDefault="005118BA">
      <w:pPr>
        <w:rPr>
          <w:sz w:val="24"/>
          <w:szCs w:val="24"/>
        </w:rPr>
      </w:pPr>
    </w:p>
    <w:p w:rsidR="005118BA" w:rsidRPr="00AE4B68" w:rsidRDefault="005118BA">
      <w:pPr>
        <w:rPr>
          <w:sz w:val="24"/>
          <w:szCs w:val="24"/>
        </w:rPr>
      </w:pPr>
      <w:r w:rsidRPr="00AE4B68">
        <w:rPr>
          <w:sz w:val="24"/>
          <w:szCs w:val="24"/>
        </w:rPr>
        <w:t>31 July 2017</w:t>
      </w:r>
    </w:p>
    <w:p w:rsidR="000D0836" w:rsidRPr="00AE4B68" w:rsidRDefault="000D0836">
      <w:pPr>
        <w:rPr>
          <w:sz w:val="24"/>
          <w:szCs w:val="24"/>
        </w:rPr>
      </w:pPr>
    </w:p>
    <w:p w:rsidR="000D0836" w:rsidRPr="00AE4B68" w:rsidRDefault="000D0836" w:rsidP="000D0836">
      <w:pPr>
        <w:rPr>
          <w:b/>
        </w:rPr>
      </w:pPr>
      <w:r w:rsidRPr="00AE4B68">
        <w:rPr>
          <w:b/>
        </w:rPr>
        <w:t>Draft education funding strategy</w:t>
      </w:r>
    </w:p>
    <w:p w:rsidR="000D4A7E" w:rsidRPr="00AE4B68" w:rsidRDefault="000D4A7E">
      <w:pPr>
        <w:rPr>
          <w:sz w:val="24"/>
          <w:szCs w:val="24"/>
        </w:rPr>
      </w:pPr>
    </w:p>
    <w:p w:rsidR="000D4A7E" w:rsidRPr="00AE4B68" w:rsidRDefault="000D4A7E">
      <w:pPr>
        <w:rPr>
          <w:sz w:val="24"/>
          <w:szCs w:val="24"/>
        </w:rPr>
      </w:pPr>
      <w:r w:rsidRPr="00AE4B68">
        <w:rPr>
          <w:sz w:val="24"/>
          <w:szCs w:val="24"/>
        </w:rPr>
        <w:t>Although you inv</w:t>
      </w:r>
      <w:r w:rsidR="005118BA" w:rsidRPr="00AE4B68">
        <w:rPr>
          <w:sz w:val="24"/>
          <w:szCs w:val="24"/>
        </w:rPr>
        <w:t xml:space="preserve">olved me </w:t>
      </w:r>
      <w:r w:rsidRPr="00AE4B68">
        <w:rPr>
          <w:sz w:val="24"/>
          <w:szCs w:val="24"/>
        </w:rPr>
        <w:t>as a member of Greytown Lions</w:t>
      </w:r>
      <w:r w:rsidR="005118BA" w:rsidRPr="00AE4B68">
        <w:rPr>
          <w:sz w:val="24"/>
          <w:szCs w:val="24"/>
        </w:rPr>
        <w:t xml:space="preserve"> Club</w:t>
      </w:r>
      <w:r w:rsidRPr="00AE4B68">
        <w:rPr>
          <w:sz w:val="24"/>
          <w:szCs w:val="24"/>
        </w:rPr>
        <w:t>, I submit this in my personal capacity.</w:t>
      </w:r>
    </w:p>
    <w:p w:rsidR="00CE244D" w:rsidRPr="00AE4B68" w:rsidRDefault="00CE244D">
      <w:pPr>
        <w:rPr>
          <w:sz w:val="24"/>
          <w:szCs w:val="24"/>
        </w:rPr>
      </w:pPr>
    </w:p>
    <w:p w:rsidR="00CE244D" w:rsidRPr="00AE4B68" w:rsidRDefault="00CE244D">
      <w:pPr>
        <w:rPr>
          <w:sz w:val="24"/>
          <w:szCs w:val="24"/>
        </w:rPr>
      </w:pPr>
      <w:r w:rsidRPr="00AE4B68">
        <w:rPr>
          <w:sz w:val="24"/>
          <w:szCs w:val="24"/>
        </w:rPr>
        <w:t>In particular I support helping:</w:t>
      </w:r>
    </w:p>
    <w:p w:rsidR="00466749" w:rsidRPr="00AE4B68" w:rsidRDefault="00466749">
      <w:pPr>
        <w:rPr>
          <w:sz w:val="24"/>
          <w:szCs w:val="24"/>
        </w:rPr>
      </w:pPr>
    </w:p>
    <w:p w:rsidR="00CE244D" w:rsidRPr="00AE4B68" w:rsidRDefault="00466749" w:rsidP="00466749">
      <w:pPr>
        <w:pStyle w:val="ListParagraph"/>
        <w:numPr>
          <w:ilvl w:val="0"/>
          <w:numId w:val="1"/>
        </w:numPr>
        <w:rPr>
          <w:sz w:val="24"/>
          <w:szCs w:val="24"/>
        </w:rPr>
      </w:pPr>
      <w:r w:rsidRPr="00AE4B68">
        <w:rPr>
          <w:sz w:val="24"/>
          <w:szCs w:val="24"/>
        </w:rPr>
        <w:t>e</w:t>
      </w:r>
      <w:r w:rsidR="00CE244D" w:rsidRPr="00AE4B68">
        <w:rPr>
          <w:sz w:val="24"/>
          <w:szCs w:val="24"/>
        </w:rPr>
        <w:t>arly childhood education</w:t>
      </w:r>
      <w:r w:rsidRPr="00AE4B68">
        <w:rPr>
          <w:sz w:val="24"/>
          <w:szCs w:val="24"/>
        </w:rPr>
        <w:t xml:space="preserve"> (ECE)</w:t>
      </w:r>
    </w:p>
    <w:p w:rsidR="00CE244D" w:rsidRPr="00AE4B68" w:rsidRDefault="00CE244D" w:rsidP="00466749">
      <w:pPr>
        <w:pStyle w:val="ListParagraph"/>
        <w:numPr>
          <w:ilvl w:val="0"/>
          <w:numId w:val="1"/>
        </w:numPr>
        <w:rPr>
          <w:sz w:val="24"/>
          <w:szCs w:val="24"/>
        </w:rPr>
      </w:pPr>
      <w:r w:rsidRPr="00AE4B68">
        <w:rPr>
          <w:sz w:val="24"/>
          <w:szCs w:val="24"/>
        </w:rPr>
        <w:t>families in financial hardship</w:t>
      </w:r>
    </w:p>
    <w:p w:rsidR="00CE244D" w:rsidRPr="00AE4B68" w:rsidRDefault="00CE244D" w:rsidP="00466749">
      <w:pPr>
        <w:pStyle w:val="ListParagraph"/>
        <w:numPr>
          <w:ilvl w:val="0"/>
          <w:numId w:val="1"/>
        </w:numPr>
        <w:rPr>
          <w:sz w:val="24"/>
          <w:szCs w:val="24"/>
        </w:rPr>
      </w:pPr>
      <w:r w:rsidRPr="00AE4B68">
        <w:rPr>
          <w:sz w:val="24"/>
          <w:szCs w:val="24"/>
        </w:rPr>
        <w:t>profes</w:t>
      </w:r>
      <w:r w:rsidR="00466749" w:rsidRPr="00AE4B68">
        <w:rPr>
          <w:sz w:val="24"/>
          <w:szCs w:val="24"/>
        </w:rPr>
        <w:t>sional development for teachers</w:t>
      </w:r>
    </w:p>
    <w:p w:rsidR="00D47A87" w:rsidRPr="00AE4B68" w:rsidRDefault="00D47A87" w:rsidP="00466749">
      <w:pPr>
        <w:pStyle w:val="ListParagraph"/>
        <w:numPr>
          <w:ilvl w:val="0"/>
          <w:numId w:val="1"/>
        </w:numPr>
        <w:rPr>
          <w:sz w:val="24"/>
          <w:szCs w:val="24"/>
        </w:rPr>
      </w:pPr>
      <w:r w:rsidRPr="00AE4B68">
        <w:rPr>
          <w:sz w:val="24"/>
          <w:szCs w:val="24"/>
        </w:rPr>
        <w:t>apprentice and other non-university tertiary training</w:t>
      </w:r>
    </w:p>
    <w:p w:rsidR="00AE4B68" w:rsidRPr="00AE4B68" w:rsidRDefault="00AE4B68" w:rsidP="00AE4B68">
      <w:pPr>
        <w:rPr>
          <w:sz w:val="24"/>
          <w:szCs w:val="24"/>
        </w:rPr>
      </w:pPr>
    </w:p>
    <w:p w:rsidR="00AE4B68" w:rsidRPr="00AE4B68" w:rsidRDefault="00AE4B68" w:rsidP="00AE4B68">
      <w:pPr>
        <w:rPr>
          <w:sz w:val="24"/>
          <w:szCs w:val="24"/>
        </w:rPr>
      </w:pPr>
      <w:r w:rsidRPr="00AE4B68">
        <w:rPr>
          <w:sz w:val="24"/>
          <w:szCs w:val="24"/>
        </w:rPr>
        <w:t>Specific comments follow.</w:t>
      </w:r>
    </w:p>
    <w:p w:rsidR="00CE244D" w:rsidRPr="00AE4B68" w:rsidRDefault="00CE244D">
      <w:pPr>
        <w:rPr>
          <w:sz w:val="24"/>
          <w:szCs w:val="24"/>
        </w:rPr>
      </w:pPr>
    </w:p>
    <w:p w:rsidR="00CE244D" w:rsidRPr="00AE4B68" w:rsidRDefault="00CE244D" w:rsidP="00AE4B68">
      <w:pPr>
        <w:pStyle w:val="ListParagraph"/>
        <w:numPr>
          <w:ilvl w:val="0"/>
          <w:numId w:val="2"/>
        </w:numPr>
        <w:rPr>
          <w:sz w:val="24"/>
          <w:szCs w:val="24"/>
        </w:rPr>
      </w:pPr>
      <w:r w:rsidRPr="00AE4B68">
        <w:rPr>
          <w:sz w:val="24"/>
          <w:szCs w:val="24"/>
        </w:rPr>
        <w:t xml:space="preserve">Support for older people’s learning is difficult to target. Two agencies already doing good work in this field are our excellent town library and the Greytown Men’s </w:t>
      </w:r>
      <w:proofErr w:type="gramStart"/>
      <w:r w:rsidRPr="00AE4B68">
        <w:rPr>
          <w:sz w:val="24"/>
          <w:szCs w:val="24"/>
        </w:rPr>
        <w:t>Shed</w:t>
      </w:r>
      <w:proofErr w:type="gramEnd"/>
      <w:r w:rsidRPr="00AE4B68">
        <w:rPr>
          <w:sz w:val="24"/>
          <w:szCs w:val="24"/>
        </w:rPr>
        <w:t xml:space="preserve">. However, any new activity that an older (or any) person </w:t>
      </w:r>
      <w:r w:rsidR="00466749" w:rsidRPr="00AE4B68">
        <w:rPr>
          <w:sz w:val="24"/>
          <w:szCs w:val="24"/>
        </w:rPr>
        <w:t xml:space="preserve">may </w:t>
      </w:r>
      <w:r w:rsidRPr="00AE4B68">
        <w:rPr>
          <w:sz w:val="24"/>
          <w:szCs w:val="24"/>
        </w:rPr>
        <w:t xml:space="preserve">undertake provides </w:t>
      </w:r>
      <w:r w:rsidR="00466749" w:rsidRPr="00AE4B68">
        <w:rPr>
          <w:sz w:val="24"/>
          <w:szCs w:val="24"/>
        </w:rPr>
        <w:t xml:space="preserve">them with </w:t>
      </w:r>
      <w:r w:rsidRPr="00AE4B68">
        <w:rPr>
          <w:sz w:val="24"/>
          <w:szCs w:val="24"/>
        </w:rPr>
        <w:t>learning opportunities</w:t>
      </w:r>
      <w:r w:rsidR="00466749" w:rsidRPr="00AE4B68">
        <w:rPr>
          <w:sz w:val="24"/>
          <w:szCs w:val="24"/>
        </w:rPr>
        <w:t xml:space="preserve"> and should be encouraged</w:t>
      </w:r>
      <w:r w:rsidR="00D47A87" w:rsidRPr="00AE4B68">
        <w:rPr>
          <w:sz w:val="24"/>
          <w:szCs w:val="24"/>
        </w:rPr>
        <w:t xml:space="preserve">, </w:t>
      </w:r>
      <w:r w:rsidR="00466749" w:rsidRPr="00AE4B68">
        <w:rPr>
          <w:sz w:val="24"/>
          <w:szCs w:val="24"/>
        </w:rPr>
        <w:t xml:space="preserve">whether or not it involves a financial cost. </w:t>
      </w:r>
      <w:r w:rsidR="005118BA" w:rsidRPr="00AE4B68">
        <w:rPr>
          <w:sz w:val="24"/>
          <w:szCs w:val="24"/>
        </w:rPr>
        <w:t>M</w:t>
      </w:r>
      <w:r w:rsidR="00685C21" w:rsidRPr="00AE4B68">
        <w:rPr>
          <w:sz w:val="24"/>
          <w:szCs w:val="24"/>
        </w:rPr>
        <w:t>any</w:t>
      </w:r>
      <w:r w:rsidR="005118BA" w:rsidRPr="00AE4B68">
        <w:rPr>
          <w:sz w:val="24"/>
          <w:szCs w:val="24"/>
        </w:rPr>
        <w:t xml:space="preserve"> of </w:t>
      </w:r>
      <w:r w:rsidR="00685C21" w:rsidRPr="00AE4B68">
        <w:rPr>
          <w:sz w:val="24"/>
          <w:szCs w:val="24"/>
        </w:rPr>
        <w:t xml:space="preserve">Greytown’s </w:t>
      </w:r>
      <w:r w:rsidR="005118BA" w:rsidRPr="00AE4B68">
        <w:rPr>
          <w:sz w:val="24"/>
          <w:szCs w:val="24"/>
        </w:rPr>
        <w:t>older people are well provided for financially</w:t>
      </w:r>
      <w:r w:rsidR="00D47A87" w:rsidRPr="00AE4B68">
        <w:rPr>
          <w:sz w:val="24"/>
          <w:szCs w:val="24"/>
        </w:rPr>
        <w:t>,</w:t>
      </w:r>
      <w:r w:rsidR="005118BA" w:rsidRPr="00AE4B68">
        <w:rPr>
          <w:sz w:val="24"/>
          <w:szCs w:val="24"/>
        </w:rPr>
        <w:t xml:space="preserve"> but a few are not. The challenge is to find them and help their learning. Children in hardship can be identified and helped via their school principals, but no similar arrangement is possible for a person living</w:t>
      </w:r>
      <w:r w:rsidR="00D47A87" w:rsidRPr="00AE4B68">
        <w:rPr>
          <w:sz w:val="24"/>
          <w:szCs w:val="24"/>
        </w:rPr>
        <w:t xml:space="preserve"> solel</w:t>
      </w:r>
      <w:r w:rsidR="005118BA" w:rsidRPr="00AE4B68">
        <w:rPr>
          <w:sz w:val="24"/>
          <w:szCs w:val="24"/>
        </w:rPr>
        <w:t>y</w:t>
      </w:r>
      <w:r w:rsidR="00D47A87" w:rsidRPr="00AE4B68">
        <w:rPr>
          <w:sz w:val="24"/>
          <w:szCs w:val="24"/>
        </w:rPr>
        <w:t xml:space="preserve"> on National S</w:t>
      </w:r>
      <w:r w:rsidR="005118BA" w:rsidRPr="00AE4B68">
        <w:rPr>
          <w:sz w:val="24"/>
          <w:szCs w:val="24"/>
        </w:rPr>
        <w:t>uperannuation.</w:t>
      </w:r>
    </w:p>
    <w:p w:rsidR="00466749" w:rsidRPr="00AE4B68" w:rsidRDefault="00466749">
      <w:pPr>
        <w:rPr>
          <w:sz w:val="24"/>
          <w:szCs w:val="24"/>
        </w:rPr>
      </w:pPr>
    </w:p>
    <w:p w:rsidR="00466749" w:rsidRPr="00AE4B68" w:rsidRDefault="00466749" w:rsidP="00AE4B68">
      <w:pPr>
        <w:pStyle w:val="ListParagraph"/>
        <w:numPr>
          <w:ilvl w:val="0"/>
          <w:numId w:val="2"/>
        </w:numPr>
        <w:rPr>
          <w:sz w:val="24"/>
          <w:szCs w:val="24"/>
        </w:rPr>
      </w:pPr>
      <w:r w:rsidRPr="00AE4B68">
        <w:rPr>
          <w:sz w:val="24"/>
          <w:szCs w:val="24"/>
        </w:rPr>
        <w:t>The new funding for ECE is most welcome. However, it should be noted that Greytown Early Years and Greytown Kindergarten (although p</w:t>
      </w:r>
      <w:r w:rsidR="00685C21" w:rsidRPr="00AE4B68">
        <w:rPr>
          <w:sz w:val="24"/>
          <w:szCs w:val="24"/>
        </w:rPr>
        <w:t xml:space="preserve">robably </w:t>
      </w:r>
      <w:r w:rsidRPr="00AE4B68">
        <w:rPr>
          <w:sz w:val="24"/>
          <w:szCs w:val="24"/>
        </w:rPr>
        <w:t xml:space="preserve">the biggest) are not the only not-for-profit </w:t>
      </w:r>
      <w:r w:rsidR="00685C21" w:rsidRPr="00AE4B68">
        <w:rPr>
          <w:sz w:val="24"/>
          <w:szCs w:val="24"/>
        </w:rPr>
        <w:t xml:space="preserve">ECE </w:t>
      </w:r>
      <w:r w:rsidRPr="00AE4B68">
        <w:rPr>
          <w:sz w:val="24"/>
          <w:szCs w:val="24"/>
        </w:rPr>
        <w:t>providers in our town. Others include Plunket, the Toy Library and the weekly Play Group.</w:t>
      </w:r>
    </w:p>
    <w:p w:rsidR="00466749" w:rsidRPr="00AE4B68" w:rsidRDefault="00466749">
      <w:pPr>
        <w:rPr>
          <w:sz w:val="24"/>
          <w:szCs w:val="24"/>
        </w:rPr>
      </w:pPr>
    </w:p>
    <w:p w:rsidR="00466749" w:rsidRPr="00AE4B68" w:rsidRDefault="00466749" w:rsidP="00AE4B68">
      <w:pPr>
        <w:pStyle w:val="ListParagraph"/>
        <w:numPr>
          <w:ilvl w:val="0"/>
          <w:numId w:val="2"/>
        </w:numPr>
        <w:rPr>
          <w:sz w:val="24"/>
          <w:szCs w:val="24"/>
        </w:rPr>
      </w:pPr>
      <w:r w:rsidRPr="00AE4B68">
        <w:rPr>
          <w:sz w:val="24"/>
          <w:szCs w:val="24"/>
        </w:rPr>
        <w:t xml:space="preserve">I question the disproportionately small allocation of funds to ECE in comparison with the </w:t>
      </w:r>
      <w:r w:rsidR="00685C21" w:rsidRPr="00AE4B68">
        <w:rPr>
          <w:sz w:val="24"/>
          <w:szCs w:val="24"/>
        </w:rPr>
        <w:t>primary and secondary sectors. T</w:t>
      </w:r>
      <w:r w:rsidRPr="00AE4B68">
        <w:rPr>
          <w:sz w:val="24"/>
          <w:szCs w:val="24"/>
        </w:rPr>
        <w:t xml:space="preserve">he importance </w:t>
      </w:r>
      <w:r w:rsidR="00D47A87" w:rsidRPr="00AE4B68">
        <w:rPr>
          <w:sz w:val="24"/>
          <w:szCs w:val="24"/>
        </w:rPr>
        <w:t xml:space="preserve">to human development </w:t>
      </w:r>
      <w:r w:rsidRPr="00AE4B68">
        <w:rPr>
          <w:sz w:val="24"/>
          <w:szCs w:val="24"/>
        </w:rPr>
        <w:t>of the first few years of life is so great that a case could be made for directing all of the Trust’s funding to it.</w:t>
      </w:r>
    </w:p>
    <w:p w:rsidR="00685C21" w:rsidRPr="00AE4B68" w:rsidRDefault="00685C21">
      <w:pPr>
        <w:rPr>
          <w:sz w:val="24"/>
          <w:szCs w:val="24"/>
        </w:rPr>
      </w:pPr>
    </w:p>
    <w:p w:rsidR="00685C21" w:rsidRPr="00AE4B68" w:rsidRDefault="00685C21" w:rsidP="00AE4B68">
      <w:pPr>
        <w:pStyle w:val="ListParagraph"/>
        <w:numPr>
          <w:ilvl w:val="0"/>
          <w:numId w:val="2"/>
        </w:numPr>
        <w:rPr>
          <w:sz w:val="24"/>
          <w:szCs w:val="24"/>
        </w:rPr>
      </w:pPr>
      <w:r w:rsidRPr="00AE4B68">
        <w:rPr>
          <w:sz w:val="24"/>
          <w:szCs w:val="24"/>
        </w:rPr>
        <w:t>Page 4 of the draft strategy, under ‘</w:t>
      </w:r>
      <w:r w:rsidR="000C00FB" w:rsidRPr="00AE4B68">
        <w:rPr>
          <w:sz w:val="24"/>
          <w:szCs w:val="24"/>
        </w:rPr>
        <w:t>B</w:t>
      </w:r>
      <w:r w:rsidRPr="00AE4B68">
        <w:rPr>
          <w:sz w:val="24"/>
          <w:szCs w:val="24"/>
        </w:rPr>
        <w:t>ackground’</w:t>
      </w:r>
      <w:r w:rsidR="000C00FB" w:rsidRPr="00AE4B68">
        <w:rPr>
          <w:sz w:val="24"/>
          <w:szCs w:val="24"/>
        </w:rPr>
        <w:t>,</w:t>
      </w:r>
      <w:r w:rsidRPr="00AE4B68">
        <w:rPr>
          <w:sz w:val="24"/>
          <w:szCs w:val="24"/>
        </w:rPr>
        <w:t xml:space="preserve"> mentions the Trust-funded tablets, laptops and computers </w:t>
      </w:r>
      <w:r w:rsidR="000C00FB" w:rsidRPr="00AE4B68">
        <w:rPr>
          <w:sz w:val="24"/>
          <w:szCs w:val="24"/>
        </w:rPr>
        <w:t>used in classrooms at Greytown School. Like most people I was pleased to hear about this initiative. Recently, however, I learned of an OECD study</w:t>
      </w:r>
      <w:r w:rsidR="000D0836" w:rsidRPr="00AE4B68">
        <w:rPr>
          <w:sz w:val="24"/>
          <w:szCs w:val="24"/>
        </w:rPr>
        <w:t xml:space="preserve"> showing that computer use in schools does not enhance children’s learning</w:t>
      </w:r>
      <w:r w:rsidR="00AE4B68" w:rsidRPr="00AE4B68">
        <w:rPr>
          <w:sz w:val="24"/>
          <w:szCs w:val="24"/>
        </w:rPr>
        <w:t xml:space="preserve"> and may even impede it. S</w:t>
      </w:r>
      <w:r w:rsidR="000D0836" w:rsidRPr="00AE4B68">
        <w:rPr>
          <w:sz w:val="24"/>
          <w:szCs w:val="24"/>
        </w:rPr>
        <w:t xml:space="preserve">ee </w:t>
      </w:r>
      <w:hyperlink r:id="rId5" w:history="1">
        <w:r w:rsidR="000D0836" w:rsidRPr="00AE4B68">
          <w:rPr>
            <w:rStyle w:val="Hyperlink"/>
            <w:sz w:val="24"/>
            <w:szCs w:val="24"/>
          </w:rPr>
          <w:t>http://www.bbc.com/news/business-34174796</w:t>
        </w:r>
      </w:hyperlink>
      <w:r w:rsidR="000D0836" w:rsidRPr="00AE4B68">
        <w:rPr>
          <w:sz w:val="24"/>
          <w:szCs w:val="24"/>
        </w:rPr>
        <w:t xml:space="preserve"> and </w:t>
      </w:r>
      <w:hyperlink r:id="rId6" w:history="1">
        <w:r w:rsidR="000D0836" w:rsidRPr="00AE4B68">
          <w:rPr>
            <w:rStyle w:val="Hyperlink"/>
            <w:sz w:val="24"/>
            <w:szCs w:val="24"/>
          </w:rPr>
          <w:t>http://www.oecd.org/edu/students-computers-and-learning-9789264239555-en.htm</w:t>
        </w:r>
      </w:hyperlink>
    </w:p>
    <w:p w:rsidR="00AE4B68" w:rsidRPr="00AE4B68" w:rsidRDefault="00AE4B68">
      <w:pPr>
        <w:rPr>
          <w:sz w:val="24"/>
          <w:szCs w:val="24"/>
        </w:rPr>
      </w:pPr>
    </w:p>
    <w:p w:rsidR="00AE4B68" w:rsidRPr="00AE4B68" w:rsidRDefault="00AE4B68" w:rsidP="00AE4B68">
      <w:pPr>
        <w:ind w:left="709"/>
        <w:rPr>
          <w:sz w:val="24"/>
          <w:szCs w:val="24"/>
        </w:rPr>
      </w:pPr>
      <w:r w:rsidRPr="00AE4B68">
        <w:rPr>
          <w:sz w:val="24"/>
          <w:szCs w:val="24"/>
        </w:rPr>
        <w:t>Whether or not to invest in IT in schools is properly a decision for educators rather than funders, but the Trust should at least be aware of this research.</w:t>
      </w:r>
    </w:p>
    <w:p w:rsidR="00D47A87" w:rsidRPr="00AE4B68" w:rsidRDefault="00D47A87">
      <w:pPr>
        <w:rPr>
          <w:sz w:val="24"/>
          <w:szCs w:val="24"/>
        </w:rPr>
      </w:pPr>
    </w:p>
    <w:p w:rsidR="00D47A87" w:rsidRPr="00AE4B68" w:rsidRDefault="00D47A87" w:rsidP="00AE4B68">
      <w:pPr>
        <w:pStyle w:val="ListParagraph"/>
        <w:numPr>
          <w:ilvl w:val="0"/>
          <w:numId w:val="2"/>
        </w:numPr>
        <w:rPr>
          <w:sz w:val="24"/>
          <w:szCs w:val="24"/>
        </w:rPr>
      </w:pPr>
      <w:r w:rsidRPr="00AE4B68">
        <w:rPr>
          <w:sz w:val="24"/>
          <w:szCs w:val="24"/>
        </w:rPr>
        <w:lastRenderedPageBreak/>
        <w:t xml:space="preserve">Applications for community sector funding will be considered twice yearly. </w:t>
      </w:r>
      <w:r w:rsidR="00AE4B68">
        <w:rPr>
          <w:sz w:val="24"/>
          <w:szCs w:val="24"/>
        </w:rPr>
        <w:t>But s</w:t>
      </w:r>
      <w:r w:rsidRPr="00AE4B68">
        <w:rPr>
          <w:sz w:val="24"/>
          <w:szCs w:val="24"/>
        </w:rPr>
        <w:t xml:space="preserve">ix months is a long time to wait </w:t>
      </w:r>
      <w:r w:rsidR="00AE4B68" w:rsidRPr="00AE4B68">
        <w:rPr>
          <w:sz w:val="24"/>
          <w:szCs w:val="24"/>
        </w:rPr>
        <w:t>if</w:t>
      </w:r>
      <w:r w:rsidRPr="00AE4B68">
        <w:rPr>
          <w:sz w:val="24"/>
          <w:szCs w:val="24"/>
        </w:rPr>
        <w:t xml:space="preserve"> an </w:t>
      </w:r>
      <w:r w:rsidR="00AE4B68" w:rsidRPr="00AE4B68">
        <w:rPr>
          <w:sz w:val="24"/>
          <w:szCs w:val="24"/>
        </w:rPr>
        <w:t xml:space="preserve">individual or organisation </w:t>
      </w:r>
      <w:r w:rsidRPr="00AE4B68">
        <w:rPr>
          <w:sz w:val="24"/>
          <w:szCs w:val="24"/>
        </w:rPr>
        <w:t>just misses a funding meeting. The opportunity to use the funds may disappear in that time. Could the Trust be more flexible?</w:t>
      </w:r>
    </w:p>
    <w:p w:rsidR="00AE4B68" w:rsidRPr="00AE4B68" w:rsidRDefault="00AE4B68" w:rsidP="00AE4B68">
      <w:pPr>
        <w:rPr>
          <w:sz w:val="24"/>
          <w:szCs w:val="24"/>
        </w:rPr>
      </w:pPr>
    </w:p>
    <w:p w:rsidR="00AE4B68" w:rsidRPr="00AE4B68" w:rsidRDefault="00AE4B68" w:rsidP="00AE4B68">
      <w:pPr>
        <w:rPr>
          <w:sz w:val="24"/>
          <w:szCs w:val="24"/>
        </w:rPr>
      </w:pPr>
      <w:r w:rsidRPr="00AE4B68">
        <w:rPr>
          <w:sz w:val="24"/>
          <w:szCs w:val="24"/>
        </w:rPr>
        <w:t>I congratulate the Trust for taking a step back to re-evaluate its funding objectives and processes, and thank you for the opportunity to participate.</w:t>
      </w:r>
    </w:p>
    <w:p w:rsidR="00AE4B68" w:rsidRPr="00AE4B68" w:rsidRDefault="00AE4B68" w:rsidP="00AE4B68">
      <w:pPr>
        <w:rPr>
          <w:sz w:val="24"/>
          <w:szCs w:val="24"/>
        </w:rPr>
      </w:pPr>
    </w:p>
    <w:p w:rsidR="00AE4B68" w:rsidRDefault="00AE4B68" w:rsidP="00AE4B68">
      <w:pPr>
        <w:rPr>
          <w:sz w:val="24"/>
          <w:szCs w:val="24"/>
        </w:rPr>
      </w:pPr>
      <w:r w:rsidRPr="00AE4B68">
        <w:rPr>
          <w:sz w:val="24"/>
          <w:szCs w:val="24"/>
        </w:rPr>
        <w:t>Yours sincerely</w:t>
      </w:r>
    </w:p>
    <w:p w:rsidR="00AE4B68" w:rsidRDefault="00AE4B68" w:rsidP="00AE4B68">
      <w:pPr>
        <w:rPr>
          <w:sz w:val="24"/>
          <w:szCs w:val="24"/>
        </w:rPr>
      </w:pPr>
    </w:p>
    <w:p w:rsidR="00AE4B68" w:rsidRPr="00AE4B68" w:rsidRDefault="00AE4B68" w:rsidP="00AE4B68">
      <w:pPr>
        <w:rPr>
          <w:sz w:val="24"/>
          <w:szCs w:val="24"/>
        </w:rPr>
      </w:pPr>
    </w:p>
    <w:p w:rsidR="00AE4B68" w:rsidRPr="00AE4B68" w:rsidRDefault="00AE4B68" w:rsidP="00AE4B68">
      <w:pPr>
        <w:rPr>
          <w:sz w:val="24"/>
          <w:szCs w:val="24"/>
        </w:rPr>
      </w:pPr>
    </w:p>
    <w:p w:rsidR="00AE4B68" w:rsidRPr="00AE4B68" w:rsidRDefault="00AE4B68" w:rsidP="00AE4B68">
      <w:pPr>
        <w:rPr>
          <w:sz w:val="24"/>
          <w:szCs w:val="24"/>
        </w:rPr>
      </w:pPr>
      <w:r w:rsidRPr="00AE4B68">
        <w:rPr>
          <w:sz w:val="24"/>
          <w:szCs w:val="24"/>
        </w:rPr>
        <w:t>John Rhodes</w:t>
      </w:r>
    </w:p>
    <w:p w:rsidR="00AE4B68" w:rsidRPr="00AE4B68" w:rsidRDefault="00AE4B68">
      <w:pPr>
        <w:rPr>
          <w:sz w:val="24"/>
          <w:szCs w:val="24"/>
        </w:rPr>
      </w:pPr>
    </w:p>
    <w:sectPr w:rsidR="00AE4B68" w:rsidRPr="00AE4B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67D5F"/>
    <w:multiLevelType w:val="hybridMultilevel"/>
    <w:tmpl w:val="08E0D4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C83307F"/>
    <w:multiLevelType w:val="hybridMultilevel"/>
    <w:tmpl w:val="6436DF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D2B"/>
    <w:rsid w:val="000C00FB"/>
    <w:rsid w:val="000D0836"/>
    <w:rsid w:val="000D4A7E"/>
    <w:rsid w:val="00466749"/>
    <w:rsid w:val="005118BA"/>
    <w:rsid w:val="00514279"/>
    <w:rsid w:val="00685C21"/>
    <w:rsid w:val="007709D4"/>
    <w:rsid w:val="00850D90"/>
    <w:rsid w:val="00AE4B68"/>
    <w:rsid w:val="00B20D2B"/>
    <w:rsid w:val="00BC5E6A"/>
    <w:rsid w:val="00CE244D"/>
    <w:rsid w:val="00D47A87"/>
    <w:rsid w:val="00DE6F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FDEA1-63B0-40CA-ADEA-2B4D15D6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color w:val="000000" w:themeColor="text1"/>
        <w:sz w:val="22"/>
        <w:szCs w:val="22"/>
        <w:vertAlign w:val="superscript"/>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D90"/>
    <w:rPr>
      <w:sz w:val="28"/>
      <w:szCs w:val="28"/>
      <w:vertAlign w:val="base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749"/>
    <w:pPr>
      <w:ind w:left="720"/>
      <w:contextualSpacing/>
    </w:pPr>
  </w:style>
  <w:style w:type="character" w:styleId="Hyperlink">
    <w:name w:val="Hyperlink"/>
    <w:basedOn w:val="DefaultParagraphFont"/>
    <w:uiPriority w:val="99"/>
    <w:semiHidden/>
    <w:unhideWhenUsed/>
    <w:rsid w:val="000D0836"/>
    <w:rPr>
      <w:color w:val="0000FF"/>
      <w:u w:val="single"/>
    </w:rPr>
  </w:style>
  <w:style w:type="character" w:styleId="FollowedHyperlink">
    <w:name w:val="FollowedHyperlink"/>
    <w:basedOn w:val="DefaultParagraphFont"/>
    <w:uiPriority w:val="99"/>
    <w:semiHidden/>
    <w:unhideWhenUsed/>
    <w:rsid w:val="00AE4B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ecd.org/edu/students-computers-and-learning-9789264239555-en.htm" TargetMode="External"/><Relationship Id="rId5" Type="http://schemas.openxmlformats.org/officeDocument/2006/relationships/hyperlink" Target="http://www.bbc.com/news/business-3417479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Projects</cp:lastModifiedBy>
  <cp:revision>2</cp:revision>
  <dcterms:created xsi:type="dcterms:W3CDTF">2017-07-31T21:34:00Z</dcterms:created>
  <dcterms:modified xsi:type="dcterms:W3CDTF">2017-07-31T21:34:00Z</dcterms:modified>
</cp:coreProperties>
</file>